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Final Reflection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Drawing from the case studies, it is evident that the United States legal system is based on several established principles borrowed from </w:t>
      </w:r>
      <w:r>
        <w:rPr>
          <w:rFonts w:ascii="Times New Roman" w:hAnsi="Times New Roman" w:cs="Times New Roman" w:eastAsia="Times New Roman"/>
          <w:color w:val="000000"/>
          <w:spacing w:val="0"/>
          <w:position w:val="0"/>
          <w:sz w:val="24"/>
          <w:shd w:fill="auto" w:val="clear"/>
        </w:rPr>
        <w:t xml:space="preserve">common law, administrative regulations, treaties, statutory laws and also constitutional laws. At both the state and federal levels, it is clear that the derivation of the original common laws system was aimed advancing the nature of fairness and justice to the legal system (Brennan &amp; Schafer, 2020).Additionally, while there exists many legal systems the US laws can be borrowed from, it is clear that the US constitution still remains as the most Supreme law of the land. Also, various sources of the law are also interrelated leading to improvement of the legal proceedings.  One of the most significant lessons about the common law is that it invokes uncertainty and confusion meaning that the court cases can be resolved in an amicable manner. Pure decisional cases laws are also helpful in solving these cases and also interpreting the inherent fairness that is done on those cases. </w:t>
      </w:r>
      <w:r>
        <w:rPr>
          <w:rFonts w:ascii="Times New Roman" w:hAnsi="Times New Roman" w:cs="Times New Roman" w:eastAsia="Times New Roman"/>
          <w:i/>
          <w:color w:val="000000"/>
          <w:spacing w:val="0"/>
          <w:position w:val="0"/>
          <w:sz w:val="24"/>
          <w:shd w:fill="auto" w:val="clear"/>
        </w:rPr>
        <w:t xml:space="preserve">The cases discussed under these competences have both legal and ethical ramification.</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Competency 1: </w:t>
      </w:r>
      <w:r>
        <w:rPr>
          <w:rFonts w:ascii="Times New Roman" w:hAnsi="Times New Roman" w:cs="Times New Roman" w:eastAsia="Times New Roman"/>
          <w:b/>
          <w:color w:val="000000"/>
          <w:spacing w:val="0"/>
          <w:position w:val="0"/>
          <w:sz w:val="24"/>
          <w:shd w:fill="FFFFFF" w:val="clear"/>
        </w:rPr>
        <w:t xml:space="preserve">Demonstrating Mastery - Analysis of the U.S. Legal system</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study of the U.S legal system provides one with a complete picture of how the system operates.  From the time of constitutional promulgation and subsequent amendments, it is clear that the U.S legal system is one that promoted the expansion of commerce while at the same time enhancing the rights of the citizens. I was amazed to discover that United</w:t>
      </w:r>
      <w:r>
        <w:rPr>
          <w:rFonts w:ascii="Times New Roman" w:hAnsi="Times New Roman" w:cs="Times New Roman" w:eastAsia="Times New Roman"/>
          <w:color w:val="000000"/>
          <w:spacing w:val="0"/>
          <w:position w:val="0"/>
          <w:sz w:val="24"/>
          <w:shd w:fill="auto" w:val="clear"/>
        </w:rPr>
        <w:t xml:space="preserve"> States laws borrow from the common law legal tradition that has been the trend in the commonwealth countries. The most relevant issue about the U.S legal system is that the signing of the US constitution in 1987 was a major step that contributed to the development of the United States laws.  The constitution has legal ramifications because court has an established jurisdiction in which it exercises its principles leading to achievement of justice. In addition, the United States also uses a system of decentralization of its courts and also federalism system that helps to define the structure under which the courts perform their own functions and also duties (Hertzke &amp; Olson, 2018).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Competency 2:</w:t>
      </w:r>
      <w:r>
        <w:rPr>
          <w:rFonts w:ascii="Times New Roman" w:hAnsi="Times New Roman" w:cs="Times New Roman" w:eastAsia="Times New Roman"/>
          <w:b/>
          <w:color w:val="000000"/>
          <w:spacing w:val="0"/>
          <w:position w:val="0"/>
          <w:sz w:val="24"/>
          <w:shd w:fill="FFFFFF" w:val="clear"/>
        </w:rPr>
        <w:t xml:space="preserve"> Demonstrating Mastery - Oracle v Google</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Google v. Oracle is a landmark case that was discussed under the Supreme Court that defines how business operates. Under this case, the main question is whether a company can own the basic commands that are used in writing of computer software.  </w:t>
      </w:r>
      <w:r>
        <w:rPr>
          <w:rFonts w:ascii="Times New Roman" w:hAnsi="Times New Roman" w:cs="Times New Roman" w:eastAsia="Times New Roman"/>
          <w:color w:val="000000"/>
          <w:spacing w:val="0"/>
          <w:position w:val="0"/>
          <w:sz w:val="24"/>
          <w:shd w:fill="auto" w:val="clear"/>
        </w:rPr>
        <w:t xml:space="preserve">Google v. Oracle America is an existing legal case involving issues of copyright law and also computer coding. In particular, the center of the dispute involves part of Java programming language that is owned by Oracle and versions of Android operating system that are owned by Google (Kourlis, 2016).</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center of the dispute is related to the currency copy right law and also computer coding by Java.   Initially, solving this case provides a precedent to be followed under the United States precedent about issues involving copyright laws and principles. This will establish ethical conduct between parties involved in the usage of software’s in the country. A code of conduct will be developed as a result of the decision established in this case.  In case the court holds that Java APIs can be copyrighted, the major question would be whether the inclusion of the Java codes constitutes the fair use. When the case was taken to the lower courts, it was agreed that there was an issue of copyright infringement that had been violated. The case uses the fair use doctrine in which the US usually permits the copyrighted material without the need for acquisition of the copyright holder.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Competency 3: </w:t>
      </w:r>
      <w:r>
        <w:rPr>
          <w:rFonts w:ascii="Times New Roman" w:hAnsi="Times New Roman" w:cs="Times New Roman" w:eastAsia="Times New Roman"/>
          <w:b/>
          <w:color w:val="000000"/>
          <w:spacing w:val="0"/>
          <w:position w:val="0"/>
          <w:sz w:val="24"/>
          <w:shd w:fill="FFFFFF" w:val="clear"/>
        </w:rPr>
        <w:t xml:space="preserve"> Demonstrating Mastery - Contract Case Analysis</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000000"/>
          <w:spacing w:val="0"/>
          <w:position w:val="0"/>
          <w:sz w:val="24"/>
          <w:shd w:fill="auto" w:val="clear"/>
        </w:rPr>
        <w:t xml:space="preserve">The case of </w:t>
      </w:r>
      <w:r>
        <w:rPr>
          <w:rFonts w:ascii="Times New Roman" w:hAnsi="Times New Roman" w:cs="Times New Roman" w:eastAsia="Times New Roman"/>
          <w:i/>
          <w:color w:val="000000"/>
          <w:spacing w:val="0"/>
          <w:position w:val="0"/>
          <w:sz w:val="24"/>
          <w:shd w:fill="auto" w:val="clear"/>
        </w:rPr>
        <w:t xml:space="preserve">Leonard v. Pepsico, Inc (1999</w:t>
      </w:r>
      <w:r>
        <w:rPr>
          <w:rFonts w:ascii="Times New Roman" w:hAnsi="Times New Roman" w:cs="Times New Roman" w:eastAsia="Times New Roman"/>
          <w:color w:val="000000"/>
          <w:spacing w:val="0"/>
          <w:position w:val="0"/>
          <w:sz w:val="24"/>
          <w:shd w:fill="auto" w:val="clear"/>
        </w:rPr>
        <w:t xml:space="preserve">) is a landmark cases whose ruling established that an advertisement cannot be considered as a legal offer in a court of law and a reasonable person is not expected to take it seriously. The judges used the breach of contractual laws under the common law precedent to solve any emerging issues in this case. The issue was proved that Pepsi commercial did not constitute an offers but rather had established initiations that could be used for the negotiation purposes (Jennings, 2018).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I have significantly developed skills in reference to the contractual rules, it was evident that there was no specific contractual performance that could be entitled to the plaintiff concerning the offering of the jet fighter plane as shown in the television advert in exchange for points earned when purchasing the product. The case has both legal ramifications because it will set a precedent on how contracts are handled by parties. </w:t>
      </w:r>
    </w:p>
    <w:p>
      <w:pPr>
        <w:spacing w:before="0" w:after="160" w:line="48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auto"/>
          <w:spacing w:val="0"/>
          <w:position w:val="0"/>
          <w:sz w:val="24"/>
          <w:shd w:fill="auto" w:val="clear"/>
        </w:rPr>
        <w:t xml:space="preserve">Competency 4: D</w:t>
      </w:r>
      <w:r>
        <w:rPr>
          <w:rFonts w:ascii="Times New Roman" w:hAnsi="Times New Roman" w:cs="Times New Roman" w:eastAsia="Times New Roman"/>
          <w:b/>
          <w:color w:val="000000"/>
          <w:spacing w:val="0"/>
          <w:position w:val="0"/>
          <w:sz w:val="24"/>
          <w:shd w:fill="FFFFFF" w:val="clear"/>
        </w:rPr>
        <w:t xml:space="preserve">emonstrating Mastery - ImClone Stock Trading Case</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litigation involving Macy’s J.C Penny settled the lawsuit after accusing J.C Penny Company of having interfered with improperly with exclusive merchandizing agreement with Martha Stewart. This is a landmark case that has helped to define the ethical and also the legal ramifications of contractual breaches (Frankfurter, 2018). In this case, it is evident that the Macy’s complaint against JCP had alleged tortious interference of the contract leading to unfair competition.  In the case, JCP demanded to have punitive damages that stemmed from the allegations of improper conduct by JCP and unethical behavior by JCP causing a breach of the available contractual agreements. Macy sought to have punitive damages against JCP in which Macy ended up winning the case (Jennings, 2018).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According to the Securities and Exchange Commission rules, a corporation is expected to provide reports of its daily trading to the directors, company officials and also supplementary members of the corporation for substantial admittance to its confidential information. This is an outstanding case because of the fact that it was solved using principles outlined in the Sarbanes-Oxley Act is a major legislation that is applicable in this case whose purpose is to strengthen audit committees, make officers and directors officially liable for accuracy of financial information in their companies, strengthen disclosure of any financial contract signed by the company and also strengthen the available audit committees in the organization.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Brennan, B., &amp; Schafer, L. (2020). </w:t>
      </w:r>
      <w:r>
        <w:rPr>
          <w:rFonts w:ascii="Times New Roman" w:hAnsi="Times New Roman" w:cs="Times New Roman" w:eastAsia="Times New Roman"/>
          <w:i/>
          <w:color w:val="000000"/>
          <w:spacing w:val="0"/>
          <w:position w:val="0"/>
          <w:sz w:val="24"/>
          <w:shd w:fill="auto" w:val="clear"/>
        </w:rPr>
        <w:t xml:space="preserve">Branded! How retailers engage consumers with social media and mobility</w:t>
      </w:r>
      <w:r>
        <w:rPr>
          <w:rFonts w:ascii="Times New Roman" w:hAnsi="Times New Roman" w:cs="Times New Roman" w:eastAsia="Times New Roman"/>
          <w:color w:val="000000"/>
          <w:spacing w:val="0"/>
          <w:position w:val="0"/>
          <w:sz w:val="24"/>
          <w:shd w:fill="auto" w:val="clear"/>
        </w:rPr>
        <w:t xml:space="preserve">. Hoboken, N.J: Wiley.</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Frankfurter, F. (2018). The Commerce Clause under Marshall, Taney, and Waite. UNC Press Books.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Garrette, B., Phelps, C., &amp; Sibony, O. (2018). </w:t>
      </w:r>
      <w:r>
        <w:rPr>
          <w:rFonts w:ascii="Times New Roman" w:hAnsi="Times New Roman" w:cs="Times New Roman" w:eastAsia="Times New Roman"/>
          <w:i/>
          <w:color w:val="000000"/>
          <w:spacing w:val="0"/>
          <w:position w:val="0"/>
          <w:sz w:val="24"/>
          <w:shd w:fill="auto" w:val="clear"/>
        </w:rPr>
        <w:t xml:space="preserve">Cracked it!: How to solve big problems and sell solutions like top strategy consultants</w:t>
      </w:r>
      <w:r>
        <w:rPr>
          <w:rFonts w:ascii="Times New Roman" w:hAnsi="Times New Roman" w:cs="Times New Roman" w:eastAsia="Times New Roman"/>
          <w:color w:val="000000"/>
          <w:spacing w:val="0"/>
          <w:position w:val="0"/>
          <w:sz w:val="24"/>
          <w:shd w:fill="auto" w:val="clear"/>
        </w:rPr>
        <w:t xml:space="preserve">.</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Henry R. Cheeseman. (2013).</w:t>
      </w:r>
      <w:r>
        <w:rPr>
          <w:rFonts w:ascii="Times New Roman" w:hAnsi="Times New Roman" w:cs="Times New Roman" w:eastAsia="Times New Roman"/>
          <w:i/>
          <w:color w:val="000000"/>
          <w:spacing w:val="0"/>
          <w:position w:val="0"/>
          <w:sz w:val="24"/>
          <w:shd w:fill="auto" w:val="clear"/>
        </w:rPr>
        <w:t xml:space="preserve"> Corporate Governance and the Sarbanes-Oxley Act in Business. Regulations, requirements, and integrated processes. Pg. 628, and 629.</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Hertzke, A. D., &amp; Olson, L. (2018). Religion and politics in America: faith, culture, and strategic choices. Routledge.</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Jennings, M. (2018). </w:t>
      </w:r>
      <w:r>
        <w:rPr>
          <w:rFonts w:ascii="Times New Roman" w:hAnsi="Times New Roman" w:cs="Times New Roman" w:eastAsia="Times New Roman"/>
          <w:i/>
          <w:color w:val="000000"/>
          <w:spacing w:val="0"/>
          <w:position w:val="0"/>
          <w:sz w:val="24"/>
          <w:shd w:fill="auto" w:val="clear"/>
        </w:rPr>
        <w:t xml:space="preserve">Business: Its legal, ethical, and global environment</w:t>
      </w:r>
      <w:r>
        <w:rPr>
          <w:rFonts w:ascii="Times New Roman" w:hAnsi="Times New Roman" w:cs="Times New Roman" w:eastAsia="Times New Roman"/>
          <w:color w:val="000000"/>
          <w:spacing w:val="0"/>
          <w:position w:val="0"/>
          <w:sz w:val="24"/>
          <w:shd w:fill="auto" w:val="clear"/>
        </w:rPr>
        <w:t xml:space="preserve">. Australia: Cengage Learning</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Kourlis, R. L. (2016). Ten ways to reform the civil justice system by changing the culture of the courts. American Bar Association Journal, 14.</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Neef, M., &amp; Nagel, S. (2017). The Adversary Nature of the American Legal System: A Historical Perspective 1. In Lawyers' Ethics (pp. 73-98). Routledge.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